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4E00" w14:textId="4C7A8E4D" w:rsidR="004E1DF2" w:rsidRPr="004E1DF2" w:rsidRDefault="004E1DF2" w:rsidP="004E1DF2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aps/>
          <w:sz w:val="38"/>
          <w:szCs w:val="38"/>
          <w:lang w:eastAsia="ru-RU"/>
        </w:rPr>
        <w:t xml:space="preserve">      </w:t>
      </w:r>
      <w:r w:rsidRPr="004E1DF2">
        <w:rPr>
          <w:rFonts w:ascii="Times New Roman" w:eastAsia="Times New Roman" w:hAnsi="Times New Roman" w:cs="Times New Roman"/>
          <w:caps/>
          <w:sz w:val="38"/>
          <w:szCs w:val="38"/>
          <w:lang w:eastAsia="ru-RU"/>
        </w:rPr>
        <w:t>МЕКТЕП КІТАПХАНАСЫНЫҢ ЕРЕЖЕСІ</w:t>
      </w:r>
    </w:p>
    <w:p w14:paraId="39793E1E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Орта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iтапханасының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кітапханасының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кітапханасы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50C808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кiтапханасын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ұйымдастырудың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тәртiбiн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мiндеттерiн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белгiлейдi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16D184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әкімшілігіне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педагогика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өздігінен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ақпарат-</w:t>
      </w:r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библиографиялық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көрсетудiн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қолжетімділікті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70A379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режімін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</w:t>
      </w:r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iбi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директоры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белгілейді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3C2FB9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Оқырман-оқушыларға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сыныптарымен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FFB315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Кітапхананы</w:t>
      </w:r>
      <w:proofErr w:type="spellEnd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1E86159B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абонементте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F7A125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әмбебап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тасығыштағы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(CD-ROM, мультимедиа):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аңықтама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ғылыми-педагогикалық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әдебиетінің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ұсылынады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EDC701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абонементте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F864E7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ретпен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43CF5A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куәлігі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769CF2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формуляры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6F9D1A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орындайтыны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міндеттемені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EA8FDC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формуляры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фактісі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тіркейді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9DEB93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Абонементті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633B98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 Абонемент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қорындағы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саңы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F22437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бесеуден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бар;</w:t>
      </w:r>
    </w:p>
    <w:p w14:paraId="26641E56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тіркелгеннен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EC803D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тіркелгеннен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008A70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ғылыми-көпшілік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15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CBC233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үйге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берілмейді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E624BA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ұзартылуы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қысқартылуы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1BB356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BBB3D2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үйге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берілмейді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EE675E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аңықтамалық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004017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шектелмейді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A77C03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(1-2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басқасы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)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басылымдардың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данасы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қайтарылуы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расталады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4D47C6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бітуіне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мерзімінде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қажеттігі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қайтарылмаса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орнындағы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жоғалтқан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хат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C731C0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CC5CC7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қолданыстағы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нұсқаулыққа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1029D2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1-4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5-11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210394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фактісі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9317A4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2.11.4. Орта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табыстайды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жазбасы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борышкерлер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жаңадан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келгендер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айрықша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кітапханашыдан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FEB502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2.11.5.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73040A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2.11.6.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табыстайды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есептесуге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Орта,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кәсіптік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есептескеннен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ақшалай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бара-бар)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6EC635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2.11.7.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кабинеттерге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меңгерушісінің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B6992C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Оқырмандардың</w:t>
      </w:r>
      <w:proofErr w:type="spellEnd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құқықтары</w:t>
      </w:r>
      <w:proofErr w:type="spellEnd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мiндеттерi</w:t>
      </w:r>
      <w:proofErr w:type="spellEnd"/>
    </w:p>
    <w:p w14:paraId="201F167C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</w:t>
      </w:r>
    </w:p>
    <w:p w14:paraId="63AE634B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аңықтама-библиографиялық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2422B1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53B019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979A14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іздестіруде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есшілік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FED9CB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аңықтама-библиографиялық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дәстүрлi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картотекаларды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нұсқаларын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60322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Абонементте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306A6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Абонементтің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қорынан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ұзарту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2B2DF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</w:t>
      </w:r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</w:t>
      </w:r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iзетiн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14E110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«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орайлас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белгілейді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директоры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00B0AA9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3.1.10.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Кітапханалық-библиографиялық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білімдерінің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іздестірудің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A4EC4F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жанжал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0A504B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мiндеттi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B70C90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69B672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890DDA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тыныштық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тәртiпті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бөлмесіне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портфельдер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сөмкелерді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кiрмеуге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E54740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жасамауға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жыртпауға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бүктемеуге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т.т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құрал-жабдыктар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саймандарға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ұқыппен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EB4108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бөлмесінен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жазылмаған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шықпауға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2AC77F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залынын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бөлмесінде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3402B8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қордағы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әдебиеттердiң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тәртiбiн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бұзбауға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картотекалардан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кәртiшкелердi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суырмауға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рұқсатсыз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бөлмесі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қоймасына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кiрмеуге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590D6E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жыртылған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беттерінің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тапсырушы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524D4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басқасы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F42D121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қайтаруға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5D98FC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жоғалтқан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соңдай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көшірмелерімен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басылымдарымен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айырбастау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бүлінген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меңгерушісі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сүйеніп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белгілейді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C2C5A6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Кәмелетке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оқырман-оқушының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жоғалтқан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орнындағы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тартылады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2563CC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кітапханаға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қайтаруы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725190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</w:t>
      </w:r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тапханада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кету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кетіп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кітапханашының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белгісінен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AFF3F5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құқықтары</w:t>
      </w:r>
      <w:proofErr w:type="spellEnd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мiндеттерi</w:t>
      </w:r>
      <w:proofErr w:type="spellEnd"/>
    </w:p>
    <w:p w14:paraId="272EAE09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</w:t>
      </w:r>
    </w:p>
    <w:p w14:paraId="44D7534E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қайтарылуын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A3AE7B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тек: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тiркеуден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көрсеткеннен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біткен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6961AE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келтірген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өтемақының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D4FE25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бұзғаны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асырғаны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айыппұл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санкцияларын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26922E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C2C628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табылмайтын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389F08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мынаған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мiндеттi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39E015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4.2.1.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сұраныстары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қажеттіктерін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ұтырлы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5647F1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Оқурмандардың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кiтапхана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қолжетімділігін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тегiн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12B8E1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Пайдаланушыларды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құлағдар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B386C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каталогтар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каталог)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библиографиялық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құлақтандырудың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түсімдердің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Маман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C07947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5.Оқырмандарға</w:t>
      </w:r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F95DCD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6.Ақпарат</w:t>
      </w:r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іздестіруде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кеңесшілік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жүгізуге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90667B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-библиография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proofErr w:type="gram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негіздерімен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82A78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4.2.8.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қолайлы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тузызуға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41F065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4.2.9.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ұтымды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материалдық-техникалық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құрал-жабдықтардың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санитариялық-гигиеналық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туғызуға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B03260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4.2.10.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түптеуге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активін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қатыстыруға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897BFE" w14:textId="77777777" w:rsidR="004E1DF2" w:rsidRPr="004E1DF2" w:rsidRDefault="004E1DF2" w:rsidP="004E1DF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4.2.11.  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режімің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34A674" w14:textId="05661D71" w:rsidR="004E1DF2" w:rsidRPr="004E1DF2" w:rsidRDefault="004E1DF2" w:rsidP="004E1DF2">
      <w:pPr>
        <w:spacing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4.2.12.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директорының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беріп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отыруға</w:t>
      </w:r>
      <w:proofErr w:type="spellEnd"/>
      <w:r w:rsidRPr="004E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CD0319" w14:textId="35D7EAC5" w:rsidR="004E1DF2" w:rsidRPr="004E1DF2" w:rsidRDefault="004E1DF2" w:rsidP="004E1DF2"/>
    <w:sectPr w:rsidR="004E1DF2" w:rsidRPr="004E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F2"/>
    <w:rsid w:val="004E1DF2"/>
    <w:rsid w:val="007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75AE"/>
  <w15:chartTrackingRefBased/>
  <w15:docId w15:val="{3C4B93C7-0584-47BA-8729-B85A50F2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79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39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59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5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9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15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284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55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1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Тлендиева</dc:creator>
  <cp:keywords/>
  <dc:description/>
  <cp:lastModifiedBy>Тлендиева</cp:lastModifiedBy>
  <cp:revision>2</cp:revision>
  <dcterms:created xsi:type="dcterms:W3CDTF">2022-12-07T13:53:00Z</dcterms:created>
  <dcterms:modified xsi:type="dcterms:W3CDTF">2022-12-07T13:53:00Z</dcterms:modified>
</cp:coreProperties>
</file>